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79" w:rsidRPr="00B40BAE" w:rsidRDefault="00B40BAE" w:rsidP="00B40BAE">
      <w:pPr>
        <w:jc w:val="center"/>
        <w:rPr>
          <w:rFonts w:ascii="Times New Roman" w:hAnsi="Times New Roman" w:cs="Times New Roman"/>
          <w:sz w:val="28"/>
          <w:szCs w:val="28"/>
          <w:lang w:val="en-US"/>
        </w:rPr>
      </w:pPr>
      <w:r w:rsidRPr="00B40BAE">
        <w:rPr>
          <w:rFonts w:ascii="Times New Roman" w:hAnsi="Times New Roman" w:cs="Times New Roman"/>
          <w:sz w:val="28"/>
          <w:szCs w:val="28"/>
          <w:lang w:val="en-US"/>
        </w:rPr>
        <w:t>TATARSTAN DELEGATION PROFILE</w:t>
      </w:r>
    </w:p>
    <w:tbl>
      <w:tblPr>
        <w:tblStyle w:val="a3"/>
        <w:tblW w:w="15452" w:type="dxa"/>
        <w:tblInd w:w="-318" w:type="dxa"/>
        <w:tblLook w:val="04A0" w:firstRow="1" w:lastRow="0" w:firstColumn="1" w:lastColumn="0" w:noHBand="0" w:noVBand="1"/>
      </w:tblPr>
      <w:tblGrid>
        <w:gridCol w:w="806"/>
        <w:gridCol w:w="2938"/>
        <w:gridCol w:w="2827"/>
        <w:gridCol w:w="8881"/>
      </w:tblGrid>
      <w:tr w:rsidR="001B3BAD" w:rsidRPr="00945587" w:rsidTr="00AA3250">
        <w:tc>
          <w:tcPr>
            <w:tcW w:w="806" w:type="dxa"/>
          </w:tcPr>
          <w:p w:rsidR="001B3BAD" w:rsidRPr="00B40BAE" w:rsidRDefault="00AA3250"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001B3BAD" w:rsidRPr="00B40BAE">
              <w:rPr>
                <w:rFonts w:ascii="Times New Roman" w:hAnsi="Times New Roman" w:cs="Times New Roman"/>
                <w:sz w:val="28"/>
                <w:szCs w:val="28"/>
                <w:lang w:val="en-US"/>
              </w:rPr>
              <w:t>.</w:t>
            </w:r>
          </w:p>
        </w:tc>
        <w:tc>
          <w:tcPr>
            <w:tcW w:w="2938" w:type="dxa"/>
          </w:tcPr>
          <w:p w:rsidR="001B3BAD" w:rsidRPr="00B40BAE" w:rsidRDefault="001B3BAD" w:rsidP="00B40BAE">
            <w:pPr>
              <w:jc w:val="center"/>
              <w:rPr>
                <w:rFonts w:ascii="Times New Roman" w:hAnsi="Times New Roman" w:cs="Times New Roman"/>
                <w:sz w:val="28"/>
                <w:szCs w:val="28"/>
                <w:lang w:val="en-US"/>
              </w:rPr>
            </w:pPr>
            <w:r w:rsidRPr="001B3BAD">
              <w:rPr>
                <w:rFonts w:ascii="Times New Roman" w:hAnsi="Times New Roman" w:cs="Times New Roman"/>
                <w:sz w:val="28"/>
                <w:szCs w:val="28"/>
                <w:lang w:val="en-US"/>
              </w:rPr>
              <w:t>Tatarstan Investment Development Agency</w:t>
            </w:r>
          </w:p>
        </w:tc>
        <w:tc>
          <w:tcPr>
            <w:tcW w:w="2827" w:type="dxa"/>
          </w:tcPr>
          <w:p w:rsidR="001B3BAD" w:rsidRDefault="001B3BAD" w:rsidP="00562FE8">
            <w:pPr>
              <w:jc w:val="center"/>
              <w:rPr>
                <w:rFonts w:ascii="Times New Roman" w:hAnsi="Times New Roman" w:cs="Times New Roman"/>
                <w:sz w:val="28"/>
                <w:szCs w:val="28"/>
                <w:lang w:val="en-US"/>
              </w:rPr>
            </w:pPr>
            <w:r>
              <w:rPr>
                <w:rFonts w:ascii="Times New Roman" w:hAnsi="Times New Roman" w:cs="Times New Roman"/>
                <w:sz w:val="28"/>
                <w:szCs w:val="28"/>
                <w:lang w:val="en-US"/>
              </w:rPr>
              <w:t>Head</w:t>
            </w:r>
          </w:p>
          <w:p w:rsidR="001B3BAD" w:rsidRPr="001B3BAD" w:rsidRDefault="001B3BAD" w:rsidP="00562FE8">
            <w:pPr>
              <w:jc w:val="center"/>
              <w:rPr>
                <w:rFonts w:ascii="Times New Roman" w:hAnsi="Times New Roman" w:cs="Times New Roman"/>
                <w:b/>
                <w:sz w:val="28"/>
                <w:szCs w:val="28"/>
                <w:lang w:val="en-US"/>
              </w:rPr>
            </w:pPr>
            <w:r w:rsidRPr="00B40BAE">
              <w:rPr>
                <w:rFonts w:ascii="Times New Roman" w:hAnsi="Times New Roman" w:cs="Times New Roman"/>
                <w:sz w:val="28"/>
                <w:szCs w:val="28"/>
                <w:lang w:val="en-US"/>
              </w:rPr>
              <w:t xml:space="preserve"> </w:t>
            </w:r>
            <w:proofErr w:type="spellStart"/>
            <w:r w:rsidRPr="001B3BAD">
              <w:rPr>
                <w:rFonts w:ascii="Times New Roman" w:hAnsi="Times New Roman" w:cs="Times New Roman"/>
                <w:b/>
                <w:sz w:val="28"/>
                <w:szCs w:val="28"/>
                <w:lang w:val="en-US"/>
              </w:rPr>
              <w:t>Taliya</w:t>
            </w:r>
            <w:proofErr w:type="spellEnd"/>
            <w:r w:rsidRPr="001B3BAD">
              <w:rPr>
                <w:rFonts w:ascii="Times New Roman" w:hAnsi="Times New Roman" w:cs="Times New Roman"/>
                <w:b/>
                <w:sz w:val="28"/>
                <w:szCs w:val="28"/>
                <w:lang w:val="en-US"/>
              </w:rPr>
              <w:t xml:space="preserve"> MINULLINA</w:t>
            </w:r>
          </w:p>
        </w:tc>
        <w:tc>
          <w:tcPr>
            <w:tcW w:w="8881" w:type="dxa"/>
          </w:tcPr>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The Tatarstan Investment Development Agency (TIDA) is a special executive body of the Government of Tatarstan founded in 2011 to carry out investment promotion and facilitation. TIDA is responsible for all international investment and business projects in the Republic of Tatarstan, reporting directly to the President of Tatarstan.</w:t>
            </w:r>
          </w:p>
          <w:p w:rsidR="001B3BAD" w:rsidRPr="001B3BAD" w:rsidRDefault="001B3BAD" w:rsidP="001B3BA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1B3BAD">
              <w:rPr>
                <w:rFonts w:ascii="Times New Roman" w:hAnsi="Times New Roman" w:cs="Times New Roman"/>
                <w:sz w:val="28"/>
                <w:szCs w:val="28"/>
                <w:lang w:val="en-US"/>
              </w:rPr>
              <w:t>gency operates as a one-stop center to qualified investors exploring investment opportunities in Tatarstan. The range o</w:t>
            </w:r>
            <w:r>
              <w:rPr>
                <w:rFonts w:ascii="Times New Roman" w:hAnsi="Times New Roman" w:cs="Times New Roman"/>
                <w:sz w:val="28"/>
                <w:szCs w:val="28"/>
                <w:lang w:val="en-US"/>
              </w:rPr>
              <w:t>f services we provide includes:</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Attracting investment to Tatarstan</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Providing comprehensive information and statistics on priority business sectors and investment opportunities in Tatarstan</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Facilitating site selection process and determining project requirements</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Supporting the entry and establishment of foreign businesses in Tatarstan</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Assisting in finding local companies for joint ventures and identifying suppliers and other business partners</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Aftercare services to identify main problems affecting established investors</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TIDA focuses its efforts on attracting investment into eight priority sectors of the Tatarstan economy: chemical &amp; petrochemical, machinery &amp; automotive parts, construction &amp; building materials production, agriculture &amp; food processing, medicine &amp; pharmaceuticals, IT &amp; telecommunications, Halal industry, and service industry &amp; tourism.</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In carrying out our work, we work closely with 20 representative offices of the Republic of Tatarstan that are located across Russia and in Kazakhstan, Turkmenistan, Azerbaijan, Uzbekistan, Belarus, Ukraine, France, Turkey, Cuba, Finland, the Czech Republic, Switzerland, and the United States. Together with the Plenipotentiary Representative Office of Tatarstan in Moscow we regularly hold investment seminars in Moscow to provide detailed information to multinational companies about the opportunit</w:t>
            </w:r>
            <w:r>
              <w:rPr>
                <w:rFonts w:ascii="Times New Roman" w:hAnsi="Times New Roman" w:cs="Times New Roman"/>
                <w:sz w:val="28"/>
                <w:szCs w:val="28"/>
                <w:lang w:val="en-US"/>
              </w:rPr>
              <w:t xml:space="preserve">ies available in our republic. </w:t>
            </w:r>
          </w:p>
          <w:p w:rsidR="001B3BAD" w:rsidRPr="00B40BAE"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xml:space="preserve">One of the main development and investment projects of the Republic of </w:t>
            </w:r>
            <w:r w:rsidRPr="001B3BAD">
              <w:rPr>
                <w:rFonts w:ascii="Times New Roman" w:hAnsi="Times New Roman" w:cs="Times New Roman"/>
                <w:sz w:val="28"/>
                <w:szCs w:val="28"/>
                <w:lang w:val="en-US"/>
              </w:rPr>
              <w:lastRenderedPageBreak/>
              <w:t xml:space="preserve">Tatarstan is Kazan Smart City, a groundbreaking urban development project designed to spur investment into high technology, medicine, education and tourism, transforming </w:t>
            </w:r>
            <w:proofErr w:type="spellStart"/>
            <w:r w:rsidRPr="001B3BAD">
              <w:rPr>
                <w:rFonts w:ascii="Times New Roman" w:hAnsi="Times New Roman" w:cs="Times New Roman"/>
                <w:sz w:val="28"/>
                <w:szCs w:val="28"/>
                <w:lang w:val="en-US"/>
              </w:rPr>
              <w:t>Tatarstan’s</w:t>
            </w:r>
            <w:proofErr w:type="spellEnd"/>
            <w:r w:rsidRPr="001B3BAD">
              <w:rPr>
                <w:rFonts w:ascii="Times New Roman" w:hAnsi="Times New Roman" w:cs="Times New Roman"/>
                <w:sz w:val="28"/>
                <w:szCs w:val="28"/>
                <w:lang w:val="en-US"/>
              </w:rPr>
              <w:t xml:space="preserve"> capital of Kazan into an international business hub with ideal conditions for working and living.</w:t>
            </w:r>
          </w:p>
        </w:tc>
      </w:tr>
      <w:tr w:rsidR="001B3BAD" w:rsidRPr="00945587" w:rsidTr="00AA3250">
        <w:tc>
          <w:tcPr>
            <w:tcW w:w="806" w:type="dxa"/>
          </w:tcPr>
          <w:p w:rsidR="001B3BAD" w:rsidRPr="00B40BAE" w:rsidRDefault="00AA3250"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001B3BAD" w:rsidRPr="00B40BAE">
              <w:rPr>
                <w:rFonts w:ascii="Times New Roman" w:hAnsi="Times New Roman" w:cs="Times New Roman"/>
                <w:sz w:val="28"/>
                <w:szCs w:val="28"/>
                <w:lang w:val="en-US"/>
              </w:rPr>
              <w:t>.</w:t>
            </w:r>
          </w:p>
        </w:tc>
        <w:tc>
          <w:tcPr>
            <w:tcW w:w="2938" w:type="dxa"/>
          </w:tcPr>
          <w:p w:rsidR="001B3BAD" w:rsidRPr="00B40BAE" w:rsidRDefault="001B3BAD" w:rsidP="00B40BAE">
            <w:pPr>
              <w:jc w:val="center"/>
              <w:rPr>
                <w:rFonts w:ascii="Times New Roman" w:hAnsi="Times New Roman" w:cs="Times New Roman"/>
                <w:sz w:val="28"/>
                <w:szCs w:val="28"/>
                <w:lang w:val="en-US"/>
              </w:rPr>
            </w:pPr>
            <w:r w:rsidRPr="001B3BAD">
              <w:rPr>
                <w:rFonts w:ascii="Times New Roman" w:hAnsi="Times New Roman" w:cs="Times New Roman"/>
                <w:sz w:val="28"/>
                <w:szCs w:val="28"/>
                <w:lang w:val="en-US"/>
              </w:rPr>
              <w:t>State Committee on Tourism of the Republic of Tatarstan</w:t>
            </w:r>
          </w:p>
        </w:tc>
        <w:tc>
          <w:tcPr>
            <w:tcW w:w="2827" w:type="dxa"/>
          </w:tcPr>
          <w:p w:rsidR="001B3BAD" w:rsidRDefault="001B3BAD" w:rsidP="00562FE8">
            <w:pPr>
              <w:jc w:val="center"/>
              <w:rPr>
                <w:rFonts w:ascii="Times New Roman" w:hAnsi="Times New Roman" w:cs="Times New Roman"/>
                <w:sz w:val="28"/>
                <w:szCs w:val="28"/>
                <w:lang w:val="en-US"/>
              </w:rPr>
            </w:pPr>
            <w:r>
              <w:rPr>
                <w:rFonts w:ascii="Times New Roman" w:hAnsi="Times New Roman" w:cs="Times New Roman"/>
                <w:sz w:val="28"/>
                <w:szCs w:val="28"/>
                <w:lang w:val="en-US"/>
              </w:rPr>
              <w:t>Head</w:t>
            </w:r>
          </w:p>
          <w:p w:rsidR="001B3BAD" w:rsidRPr="001B3BAD" w:rsidRDefault="001B3BAD" w:rsidP="00562FE8">
            <w:pPr>
              <w:jc w:val="center"/>
              <w:rPr>
                <w:rFonts w:ascii="Times New Roman" w:hAnsi="Times New Roman" w:cs="Times New Roman"/>
                <w:b/>
                <w:sz w:val="28"/>
                <w:szCs w:val="28"/>
                <w:lang w:val="en-US"/>
              </w:rPr>
            </w:pPr>
            <w:r w:rsidRPr="001B3BAD">
              <w:rPr>
                <w:rFonts w:ascii="Times New Roman" w:hAnsi="Times New Roman" w:cs="Times New Roman"/>
                <w:b/>
                <w:sz w:val="28"/>
                <w:szCs w:val="28"/>
                <w:lang w:val="en-US"/>
              </w:rPr>
              <w:t>Sergey IVANOV</w:t>
            </w:r>
          </w:p>
        </w:tc>
        <w:tc>
          <w:tcPr>
            <w:tcW w:w="8881" w:type="dxa"/>
          </w:tcPr>
          <w:p w:rsidR="001B3BAD" w:rsidRPr="001B3BAD" w:rsidRDefault="001B3BAD" w:rsidP="001B3BAD">
            <w:pPr>
              <w:jc w:val="both"/>
              <w:rPr>
                <w:rFonts w:ascii="Times New Roman" w:hAnsi="Times New Roman" w:cs="Times New Roman"/>
                <w:sz w:val="28"/>
                <w:szCs w:val="28"/>
                <w:lang w:val="en-US"/>
              </w:rPr>
            </w:pPr>
            <w:r>
              <w:rPr>
                <w:rFonts w:ascii="Times New Roman" w:hAnsi="Times New Roman" w:cs="Times New Roman"/>
                <w:sz w:val="28"/>
                <w:szCs w:val="28"/>
                <w:lang w:val="en-US"/>
              </w:rPr>
              <w:t>The State Committee on Tourism.</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The Republic of Tatarstan State Committee on Tourism (further - the State Committee) is the interdisciplinary competence state power executive authority of the Republic of Tatarstan performing functions of public administration in the field of tourism, interdisciplinary cooperation and activities coordination with the ministries and authorities of the Republic of Tatarstan for the tourism industry and hospitality development.</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xml:space="preserve">The activity of the State Committee is governed by the </w:t>
            </w:r>
            <w:r>
              <w:rPr>
                <w:rFonts w:ascii="Times New Roman" w:hAnsi="Times New Roman" w:cs="Times New Roman"/>
                <w:sz w:val="28"/>
                <w:szCs w:val="28"/>
                <w:lang w:val="en-US"/>
              </w:rPr>
              <w:t>following regulatory documents:</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Decree of the President of the Republic of Tatarstan of March 20, 2014 № УП -286 “On Transformation of the Public Procurement Agency of the Republic of Tatarstan and the Agency for Tourism o</w:t>
            </w:r>
            <w:r>
              <w:rPr>
                <w:rFonts w:ascii="Times New Roman" w:hAnsi="Times New Roman" w:cs="Times New Roman"/>
                <w:sz w:val="28"/>
                <w:szCs w:val="28"/>
                <w:lang w:val="en-US"/>
              </w:rPr>
              <w:t xml:space="preserve">f the Republic of Tatarstan”;  </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Decree of the President of the Republic of Tatarstan of March 24, 2014 № УП-298 “On appointment of S.E. Ivanov the Chairman of the Republic of Tatarst</w:t>
            </w:r>
            <w:r>
              <w:rPr>
                <w:rFonts w:ascii="Times New Roman" w:hAnsi="Times New Roman" w:cs="Times New Roman"/>
                <w:sz w:val="28"/>
                <w:szCs w:val="28"/>
                <w:lang w:val="en-US"/>
              </w:rPr>
              <w:t>an State Committee on Tourism”;</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Resolution of the Cabinet of Ministers of the Republic of Tatarstan of April 12, 2014 №234 “Issues of the Republic of Tatarst</w:t>
            </w:r>
            <w:r>
              <w:rPr>
                <w:rFonts w:ascii="Times New Roman" w:hAnsi="Times New Roman" w:cs="Times New Roman"/>
                <w:sz w:val="28"/>
                <w:szCs w:val="28"/>
                <w:lang w:val="en-US"/>
              </w:rPr>
              <w:t>an State Committee on Tourism”.</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The major tasks of the Sta</w:t>
            </w:r>
            <w:r>
              <w:rPr>
                <w:rFonts w:ascii="Times New Roman" w:hAnsi="Times New Roman" w:cs="Times New Roman"/>
                <w:sz w:val="28"/>
                <w:szCs w:val="28"/>
                <w:lang w:val="en-US"/>
              </w:rPr>
              <w:t>te Committee are the following:</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xml:space="preserve">• Participation in the implementation of state </w:t>
            </w:r>
            <w:r>
              <w:rPr>
                <w:rFonts w:ascii="Times New Roman" w:hAnsi="Times New Roman" w:cs="Times New Roman"/>
                <w:sz w:val="28"/>
                <w:szCs w:val="28"/>
                <w:lang w:val="en-US"/>
              </w:rPr>
              <w:t>policy in the field of tourism;</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Priority lines and strategies identification for tourism develo</w:t>
            </w:r>
            <w:r>
              <w:rPr>
                <w:rFonts w:ascii="Times New Roman" w:hAnsi="Times New Roman" w:cs="Times New Roman"/>
                <w:sz w:val="28"/>
                <w:szCs w:val="28"/>
                <w:lang w:val="en-US"/>
              </w:rPr>
              <w:t>pment and their implementation;</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Interaction with the ministries and authorities of the Republic of Tatarstan on the development in the field of tourism, the to</w:t>
            </w:r>
            <w:r>
              <w:rPr>
                <w:rFonts w:ascii="Times New Roman" w:hAnsi="Times New Roman" w:cs="Times New Roman"/>
                <w:sz w:val="28"/>
                <w:szCs w:val="28"/>
                <w:lang w:val="en-US"/>
              </w:rPr>
              <w:t>urism industry and hospitality;</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xml:space="preserve">• Interaction with the participants of the tourist market, the implementation of the state support of legal entities and individuals in implementation of </w:t>
            </w:r>
            <w:r w:rsidRPr="001B3BAD">
              <w:rPr>
                <w:rFonts w:ascii="Times New Roman" w:hAnsi="Times New Roman" w:cs="Times New Roman"/>
                <w:sz w:val="28"/>
                <w:szCs w:val="28"/>
                <w:lang w:val="en-US"/>
              </w:rPr>
              <w:lastRenderedPageBreak/>
              <w:t>pr</w:t>
            </w:r>
            <w:r>
              <w:rPr>
                <w:rFonts w:ascii="Times New Roman" w:hAnsi="Times New Roman" w:cs="Times New Roman"/>
                <w:sz w:val="28"/>
                <w:szCs w:val="28"/>
                <w:lang w:val="en-US"/>
              </w:rPr>
              <w:t>ojects in the field of tourism.</w:t>
            </w:r>
          </w:p>
          <w:p w:rsidR="001B3BAD" w:rsidRPr="001B3BAD" w:rsidRDefault="001B3BAD" w:rsidP="001B3BAD">
            <w:pPr>
              <w:jc w:val="both"/>
              <w:rPr>
                <w:rFonts w:ascii="Times New Roman" w:hAnsi="Times New Roman" w:cs="Times New Roman"/>
                <w:sz w:val="28"/>
                <w:szCs w:val="28"/>
                <w:lang w:val="en-US"/>
              </w:rPr>
            </w:pPr>
            <w:r>
              <w:rPr>
                <w:rFonts w:ascii="Times New Roman" w:hAnsi="Times New Roman" w:cs="Times New Roman"/>
                <w:sz w:val="28"/>
                <w:szCs w:val="28"/>
                <w:lang w:val="en-US"/>
              </w:rPr>
              <w:t>The ma</w:t>
            </w:r>
            <w:r w:rsidRPr="001B3BAD">
              <w:rPr>
                <w:rFonts w:ascii="Times New Roman" w:hAnsi="Times New Roman" w:cs="Times New Roman"/>
                <w:sz w:val="28"/>
                <w:szCs w:val="28"/>
                <w:lang w:val="en-US"/>
              </w:rPr>
              <w:t>n functions of the Sta</w:t>
            </w:r>
            <w:r>
              <w:rPr>
                <w:rFonts w:ascii="Times New Roman" w:hAnsi="Times New Roman" w:cs="Times New Roman"/>
                <w:sz w:val="28"/>
                <w:szCs w:val="28"/>
                <w:lang w:val="en-US"/>
              </w:rPr>
              <w:t>te Committee are the following:</w:t>
            </w:r>
          </w:p>
          <w:p w:rsidR="001B3BAD" w:rsidRPr="001B3BAD"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The State Committee is responsible for implementing the major function – state power administration and implementation of interaction with the executive authorities of the Republic of Tatarstan in the field of tourism, to</w:t>
            </w:r>
            <w:r>
              <w:rPr>
                <w:rFonts w:ascii="Times New Roman" w:hAnsi="Times New Roman" w:cs="Times New Roman"/>
                <w:sz w:val="28"/>
                <w:szCs w:val="28"/>
                <w:lang w:val="en-US"/>
              </w:rPr>
              <w:t>urism industry and hospitality;</w:t>
            </w:r>
          </w:p>
          <w:p w:rsidR="001B3BAD" w:rsidRPr="00B40BAE" w:rsidRDefault="001B3BAD"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Within its competence the State Committee interacts with the ministries and authorities of the Republic of Tatarstan.</w:t>
            </w:r>
          </w:p>
        </w:tc>
      </w:tr>
      <w:tr w:rsidR="001B3BAD" w:rsidRPr="00B40BAE" w:rsidTr="00AA3250">
        <w:tc>
          <w:tcPr>
            <w:tcW w:w="806" w:type="dxa"/>
          </w:tcPr>
          <w:p w:rsidR="001B3BAD" w:rsidRPr="00B40BAE" w:rsidRDefault="00AA3250"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r w:rsidR="001B3BAD">
              <w:rPr>
                <w:rFonts w:ascii="Times New Roman" w:hAnsi="Times New Roman" w:cs="Times New Roman"/>
                <w:sz w:val="28"/>
                <w:szCs w:val="28"/>
                <w:lang w:val="en-US"/>
              </w:rPr>
              <w:t>.</w:t>
            </w:r>
          </w:p>
        </w:tc>
        <w:tc>
          <w:tcPr>
            <w:tcW w:w="2938" w:type="dxa"/>
          </w:tcPr>
          <w:p w:rsidR="001B3BAD" w:rsidRPr="00B40BAE" w:rsidRDefault="001B3BAD"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OAO KAMAZ</w:t>
            </w:r>
          </w:p>
        </w:tc>
        <w:tc>
          <w:tcPr>
            <w:tcW w:w="2827" w:type="dxa"/>
          </w:tcPr>
          <w:p w:rsidR="001B3BAD" w:rsidRDefault="001B3BAD"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Director General</w:t>
            </w:r>
          </w:p>
          <w:p w:rsidR="001B3BAD" w:rsidRPr="002B0688" w:rsidRDefault="001B3BAD" w:rsidP="00B40BAE">
            <w:pPr>
              <w:jc w:val="center"/>
              <w:rPr>
                <w:rFonts w:ascii="Times New Roman" w:hAnsi="Times New Roman" w:cs="Times New Roman"/>
                <w:b/>
                <w:sz w:val="28"/>
                <w:szCs w:val="28"/>
                <w:lang w:val="en-US"/>
              </w:rPr>
            </w:pPr>
            <w:r w:rsidRPr="002B0688">
              <w:rPr>
                <w:rFonts w:ascii="Times New Roman" w:hAnsi="Times New Roman" w:cs="Times New Roman"/>
                <w:b/>
                <w:sz w:val="28"/>
                <w:szCs w:val="28"/>
                <w:lang w:val="en-US"/>
              </w:rPr>
              <w:t xml:space="preserve">Sergey </w:t>
            </w:r>
            <w:proofErr w:type="spellStart"/>
            <w:r w:rsidRPr="002B0688">
              <w:rPr>
                <w:rFonts w:ascii="Times New Roman" w:hAnsi="Times New Roman" w:cs="Times New Roman"/>
                <w:b/>
                <w:sz w:val="28"/>
                <w:szCs w:val="28"/>
                <w:lang w:val="en-US"/>
              </w:rPr>
              <w:t>Kogogin</w:t>
            </w:r>
            <w:proofErr w:type="spellEnd"/>
          </w:p>
        </w:tc>
        <w:tc>
          <w:tcPr>
            <w:tcW w:w="8881" w:type="dxa"/>
          </w:tcPr>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OAO KAMAZ is widely known in Russia and abroad. The enterprise is engaged in the development, production, assembly and after-sales services of trucks and buses, diesel engines, parts, sets and components of vehicles, in agriculture, manufacturing of tools, machining attachments, tailored equipment, overhaul of vehicles, power units and sets, production of iron, steel, and non-ferrous castings, forgings and stampings, in rendering management services, investment activity and other kinds of activities.</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 xml:space="preserve">OAO KAMAZ Group of Companies is a united industrial complex located in the city of </w:t>
            </w:r>
            <w:proofErr w:type="spellStart"/>
            <w:r w:rsidRPr="00B40BAE">
              <w:rPr>
                <w:rFonts w:ascii="Times New Roman" w:hAnsi="Times New Roman" w:cs="Times New Roman"/>
                <w:sz w:val="28"/>
                <w:szCs w:val="28"/>
                <w:lang w:val="en-US"/>
              </w:rPr>
              <w:t>Naberezhnye</w:t>
            </w:r>
            <w:proofErr w:type="spellEnd"/>
            <w:r w:rsidRPr="00B40BAE">
              <w:rPr>
                <w:rFonts w:ascii="Times New Roman" w:hAnsi="Times New Roman" w:cs="Times New Roman"/>
                <w:sz w:val="28"/>
                <w:szCs w:val="28"/>
                <w:lang w:val="en-US"/>
              </w:rPr>
              <w:t xml:space="preserve"> </w:t>
            </w:r>
            <w:proofErr w:type="spellStart"/>
            <w:r w:rsidRPr="00B40BAE">
              <w:rPr>
                <w:rFonts w:ascii="Times New Roman" w:hAnsi="Times New Roman" w:cs="Times New Roman"/>
                <w:sz w:val="28"/>
                <w:szCs w:val="28"/>
                <w:lang w:val="en-US"/>
              </w:rPr>
              <w:t>Chelny</w:t>
            </w:r>
            <w:proofErr w:type="spellEnd"/>
            <w:r w:rsidRPr="00B40BAE">
              <w:rPr>
                <w:rFonts w:ascii="Times New Roman" w:hAnsi="Times New Roman" w:cs="Times New Roman"/>
                <w:sz w:val="28"/>
                <w:szCs w:val="28"/>
                <w:lang w:val="en-US"/>
              </w:rPr>
              <w:t>. It incorporates 11 independent automotive industry plants ranging from metallurgy and metalworking production to assembly of vehicles and their maintenance and repairs.</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OAO KAMAZ-Metallurgy is engaged in the foundry and forging production.</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 xml:space="preserve">Components producing subsidiaries such as OAO KAMAZ-Diesel, OOO KAMAZ </w:t>
            </w:r>
            <w:proofErr w:type="spellStart"/>
            <w:r w:rsidRPr="00B40BAE">
              <w:rPr>
                <w:rFonts w:ascii="Times New Roman" w:hAnsi="Times New Roman" w:cs="Times New Roman"/>
                <w:sz w:val="28"/>
                <w:szCs w:val="28"/>
                <w:lang w:val="en-US"/>
              </w:rPr>
              <w:t>Avtotekhnika</w:t>
            </w:r>
            <w:proofErr w:type="spellEnd"/>
            <w:r w:rsidRPr="00B40BAE">
              <w:rPr>
                <w:rFonts w:ascii="Times New Roman" w:hAnsi="Times New Roman" w:cs="Times New Roman"/>
                <w:sz w:val="28"/>
                <w:szCs w:val="28"/>
                <w:lang w:val="en-US"/>
              </w:rPr>
              <w:t xml:space="preserve">, and ZAO </w:t>
            </w:r>
            <w:proofErr w:type="spellStart"/>
            <w:r w:rsidRPr="00B40BAE">
              <w:rPr>
                <w:rFonts w:ascii="Times New Roman" w:hAnsi="Times New Roman" w:cs="Times New Roman"/>
                <w:sz w:val="28"/>
                <w:szCs w:val="28"/>
                <w:lang w:val="en-US"/>
              </w:rPr>
              <w:t>Remdiesel</w:t>
            </w:r>
            <w:proofErr w:type="spellEnd"/>
            <w:r w:rsidRPr="00B40BAE">
              <w:rPr>
                <w:rFonts w:ascii="Times New Roman" w:hAnsi="Times New Roman" w:cs="Times New Roman"/>
                <w:sz w:val="28"/>
                <w:szCs w:val="28"/>
                <w:lang w:val="en-US"/>
              </w:rPr>
              <w:t xml:space="preserve"> supply OAO KAMAZ with engines, power units, turbine compressors, and wheels.</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 xml:space="preserve">OAO </w:t>
            </w:r>
            <w:proofErr w:type="spellStart"/>
            <w:r w:rsidRPr="00B40BAE">
              <w:rPr>
                <w:rFonts w:ascii="Times New Roman" w:hAnsi="Times New Roman" w:cs="Times New Roman"/>
                <w:sz w:val="28"/>
                <w:szCs w:val="28"/>
                <w:lang w:val="en-US"/>
              </w:rPr>
              <w:t>KAMAZinstrumentspetsmash</w:t>
            </w:r>
            <w:proofErr w:type="spellEnd"/>
            <w:r w:rsidRPr="00B40BAE">
              <w:rPr>
                <w:rFonts w:ascii="Times New Roman" w:hAnsi="Times New Roman" w:cs="Times New Roman"/>
                <w:sz w:val="28"/>
                <w:szCs w:val="28"/>
                <w:lang w:val="en-US"/>
              </w:rPr>
              <w:t xml:space="preserve"> manufactures tools and carries out equipment overhaul. OAO Kama Frame and Stamping Plant (subsidiary of OAO KAMAZ) and Automobile Plant (subdivision of OAO KAMAZ) manufacture units and sets for trucks, various chassis on basis of KAMAZ vehicles.</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 xml:space="preserve">KAMAZ trucks and diesel engines are operated in more than 85 countries of the CIS, Asia, Africa, Europe, and Latin America. KAMAZ heavy-duty trucks are used under any road and climate conditions; from the Far North to </w:t>
            </w:r>
            <w:r w:rsidRPr="00B40BAE">
              <w:rPr>
                <w:rFonts w:ascii="Times New Roman" w:hAnsi="Times New Roman" w:cs="Times New Roman"/>
                <w:sz w:val="28"/>
                <w:szCs w:val="28"/>
                <w:lang w:val="en-US"/>
              </w:rPr>
              <w:lastRenderedPageBreak/>
              <w:t>tropics, and from deserts to mountain terrain.</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OAO KAMAZ cooperates with 527 suppliers from the Russian Federation, the CIS and non-CIS countries and with 120 special equipment producing enterprises of Russia. The strategic objective of the Company is the integration into the international automotive industry. That is why it establishes joint venture companies with the world’s leading vehicle component producers. Among partners signing the joint venture contracts are Daimler (Germany), Knorr-</w:t>
            </w:r>
            <w:proofErr w:type="spellStart"/>
            <w:r w:rsidRPr="00B40BAE">
              <w:rPr>
                <w:rFonts w:ascii="Times New Roman" w:hAnsi="Times New Roman" w:cs="Times New Roman"/>
                <w:sz w:val="28"/>
                <w:szCs w:val="28"/>
                <w:lang w:val="en-US"/>
              </w:rPr>
              <w:t>Bremse</w:t>
            </w:r>
            <w:proofErr w:type="spellEnd"/>
            <w:r w:rsidRPr="00B40BAE">
              <w:rPr>
                <w:rFonts w:ascii="Times New Roman" w:hAnsi="Times New Roman" w:cs="Times New Roman"/>
                <w:sz w:val="28"/>
                <w:szCs w:val="28"/>
                <w:lang w:val="en-US"/>
              </w:rPr>
              <w:t xml:space="preserve"> (Germany), ZF Friedrichshafen AG (Germany), Cummins (USA), Federal Mogul (USA), and Case New Holland (Italy).</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 xml:space="preserve">KAMAZ service net is spread all over Russia, CIS and non-CIS countries and comprises 210 service </w:t>
            </w:r>
            <w:proofErr w:type="spellStart"/>
            <w:r w:rsidRPr="00B40BAE">
              <w:rPr>
                <w:rFonts w:ascii="Times New Roman" w:hAnsi="Times New Roman" w:cs="Times New Roman"/>
                <w:sz w:val="28"/>
                <w:szCs w:val="28"/>
                <w:lang w:val="en-US"/>
              </w:rPr>
              <w:t>centres</w:t>
            </w:r>
            <w:proofErr w:type="spellEnd"/>
            <w:r w:rsidRPr="00B40BAE">
              <w:rPr>
                <w:rFonts w:ascii="Times New Roman" w:hAnsi="Times New Roman" w:cs="Times New Roman"/>
                <w:sz w:val="28"/>
                <w:szCs w:val="28"/>
                <w:lang w:val="en-US"/>
              </w:rPr>
              <w:t xml:space="preserve"> that render guarantee repair services to KAMAZ trucks.</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 xml:space="preserve">KAMAZ Group of Companies is in the list of ten world’s largest truck manufacturers. It was granted “The Best Exporter of Russia” award for 7 years in a row (1999 2005) in the field of Mechanical Engineering. On 5 October 2005, the Government of the Russian Federation issued a resolution on inscribing OAO KAMAZ into the list of the country’s strategic enterprises and </w:t>
            </w:r>
            <w:proofErr w:type="spellStart"/>
            <w:r w:rsidRPr="00B40BAE">
              <w:rPr>
                <w:rFonts w:ascii="Times New Roman" w:hAnsi="Times New Roman" w:cs="Times New Roman"/>
                <w:sz w:val="28"/>
                <w:szCs w:val="28"/>
                <w:lang w:val="en-US"/>
              </w:rPr>
              <w:t>organisations</w:t>
            </w:r>
            <w:proofErr w:type="spellEnd"/>
            <w:r w:rsidRPr="00B40BAE">
              <w:rPr>
                <w:rFonts w:ascii="Times New Roman" w:hAnsi="Times New Roman" w:cs="Times New Roman"/>
                <w:sz w:val="28"/>
                <w:szCs w:val="28"/>
                <w:lang w:val="en-US"/>
              </w:rPr>
              <w:t>.</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KAMAZ Group of Companies’ Quality Management System complies with ISO 9001 200and its Russian counterpart GOST ISO R 9001 2001, as well as environmental management standard of ISO 14001:2004.</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OAO KAMAZ meets the highest world standards, and multiple victories of KAMAZ-Master sport team are the most evident witness to this. KAMAZ sport trucks are unfailing winners at the most prestigious Paris-Dakar International Rally and at the Silk Road Rally.</w:t>
            </w:r>
          </w:p>
          <w:p w:rsidR="001B3BAD" w:rsidRPr="00B40BAE" w:rsidRDefault="001B3BAD" w:rsidP="00B40BAE">
            <w:pPr>
              <w:jc w:val="both"/>
              <w:rPr>
                <w:rFonts w:ascii="Times New Roman" w:hAnsi="Times New Roman" w:cs="Times New Roman"/>
                <w:sz w:val="28"/>
                <w:szCs w:val="28"/>
                <w:lang w:val="en-US"/>
              </w:rPr>
            </w:pPr>
            <w:r w:rsidRPr="00B40BAE">
              <w:rPr>
                <w:rFonts w:ascii="Times New Roman" w:hAnsi="Times New Roman" w:cs="Times New Roman"/>
                <w:sz w:val="28"/>
                <w:szCs w:val="28"/>
                <w:lang w:val="en-US"/>
              </w:rPr>
              <w:t>Products</w:t>
            </w:r>
          </w:p>
        </w:tc>
      </w:tr>
      <w:tr w:rsidR="00AA3250" w:rsidRPr="00945587" w:rsidTr="00AA3250">
        <w:tc>
          <w:tcPr>
            <w:tcW w:w="806" w:type="dxa"/>
          </w:tcPr>
          <w:p w:rsidR="00AA3250" w:rsidRDefault="00AA3250"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7.</w:t>
            </w:r>
          </w:p>
        </w:tc>
        <w:tc>
          <w:tcPr>
            <w:tcW w:w="2938" w:type="dxa"/>
          </w:tcPr>
          <w:p w:rsidR="00AA3250" w:rsidRPr="001B3BAD" w:rsidRDefault="00AA3250"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OAO Special Economic Zone </w:t>
            </w:r>
            <w:proofErr w:type="spellStart"/>
            <w:r>
              <w:rPr>
                <w:rFonts w:ascii="Times New Roman" w:hAnsi="Times New Roman" w:cs="Times New Roman"/>
                <w:sz w:val="28"/>
                <w:szCs w:val="28"/>
                <w:lang w:val="en-US"/>
              </w:rPr>
              <w:t>Innopolis</w:t>
            </w:r>
            <w:proofErr w:type="spellEnd"/>
          </w:p>
        </w:tc>
        <w:tc>
          <w:tcPr>
            <w:tcW w:w="2827" w:type="dxa"/>
          </w:tcPr>
          <w:p w:rsidR="00AA3250" w:rsidRDefault="00AA3250"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Director General</w:t>
            </w:r>
          </w:p>
          <w:p w:rsidR="00AA3250" w:rsidRPr="001B3BAD" w:rsidRDefault="00AA3250" w:rsidP="00B40BAE">
            <w:pPr>
              <w:jc w:val="center"/>
              <w:rPr>
                <w:rFonts w:ascii="Times New Roman" w:hAnsi="Times New Roman" w:cs="Times New Roman"/>
                <w:b/>
                <w:sz w:val="28"/>
                <w:szCs w:val="28"/>
                <w:lang w:val="en-US"/>
              </w:rPr>
            </w:pPr>
            <w:r w:rsidRPr="001B3BAD">
              <w:rPr>
                <w:rFonts w:ascii="Times New Roman" w:hAnsi="Times New Roman" w:cs="Times New Roman"/>
                <w:b/>
                <w:sz w:val="28"/>
                <w:szCs w:val="28"/>
                <w:lang w:val="en-US"/>
              </w:rPr>
              <w:t xml:space="preserve">Igor </w:t>
            </w:r>
            <w:proofErr w:type="spellStart"/>
            <w:r w:rsidRPr="001B3BAD">
              <w:rPr>
                <w:rFonts w:ascii="Times New Roman" w:hAnsi="Times New Roman" w:cs="Times New Roman"/>
                <w:b/>
                <w:sz w:val="28"/>
                <w:szCs w:val="28"/>
                <w:lang w:val="en-US"/>
              </w:rPr>
              <w:t>Nosov</w:t>
            </w:r>
            <w:proofErr w:type="spellEnd"/>
          </w:p>
        </w:tc>
        <w:tc>
          <w:tcPr>
            <w:tcW w:w="8881" w:type="dxa"/>
          </w:tcPr>
          <w:p w:rsidR="00AA3250" w:rsidRPr="001B3BAD" w:rsidRDefault="00AA3250" w:rsidP="001B3BAD">
            <w:pPr>
              <w:jc w:val="both"/>
              <w:rPr>
                <w:rFonts w:ascii="Times New Roman" w:hAnsi="Times New Roman" w:cs="Times New Roman"/>
                <w:sz w:val="28"/>
                <w:szCs w:val="28"/>
                <w:lang w:val="en-US"/>
              </w:rPr>
            </w:pPr>
            <w:proofErr w:type="gramStart"/>
            <w:r w:rsidRPr="001B3BAD">
              <w:rPr>
                <w:rFonts w:ascii="Times New Roman" w:hAnsi="Times New Roman" w:cs="Times New Roman"/>
                <w:sz w:val="28"/>
                <w:szCs w:val="28"/>
                <w:lang w:val="en-US"/>
              </w:rPr>
              <w:t>he</w:t>
            </w:r>
            <w:proofErr w:type="gramEnd"/>
            <w:r w:rsidRPr="001B3BAD">
              <w:rPr>
                <w:rFonts w:ascii="Times New Roman" w:hAnsi="Times New Roman" w:cs="Times New Roman"/>
                <w:sz w:val="28"/>
                <w:szCs w:val="28"/>
                <w:lang w:val="en-US"/>
              </w:rPr>
              <w:t xml:space="preserve"> </w:t>
            </w:r>
            <w:proofErr w:type="spellStart"/>
            <w:r w:rsidRPr="001B3BAD">
              <w:rPr>
                <w:rFonts w:ascii="Times New Roman" w:hAnsi="Times New Roman" w:cs="Times New Roman"/>
                <w:sz w:val="28"/>
                <w:szCs w:val="28"/>
                <w:lang w:val="en-US"/>
              </w:rPr>
              <w:t>Innopolis</w:t>
            </w:r>
            <w:proofErr w:type="spellEnd"/>
            <w:r w:rsidRPr="001B3BAD">
              <w:rPr>
                <w:rFonts w:ascii="Times New Roman" w:hAnsi="Times New Roman" w:cs="Times New Roman"/>
                <w:sz w:val="28"/>
                <w:szCs w:val="28"/>
                <w:lang w:val="en-US"/>
              </w:rPr>
              <w:t xml:space="preserve"> project involves the creation of a new city. The new city is designed to bring together young highly qualified specialists from all over the country, thus strengthening the innovative capacity of the Russian Federation.</w:t>
            </w:r>
          </w:p>
          <w:p w:rsidR="00AA3250" w:rsidRPr="001B3BAD" w:rsidRDefault="00AA3250"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xml:space="preserve">The prospective population of </w:t>
            </w:r>
            <w:proofErr w:type="spellStart"/>
            <w:r w:rsidRPr="001B3BAD">
              <w:rPr>
                <w:rFonts w:ascii="Times New Roman" w:hAnsi="Times New Roman" w:cs="Times New Roman"/>
                <w:sz w:val="28"/>
                <w:szCs w:val="28"/>
                <w:lang w:val="en-US"/>
              </w:rPr>
              <w:t>Innopolis</w:t>
            </w:r>
            <w:proofErr w:type="spellEnd"/>
            <w:r w:rsidRPr="001B3BAD">
              <w:rPr>
                <w:rFonts w:ascii="Times New Roman" w:hAnsi="Times New Roman" w:cs="Times New Roman"/>
                <w:sz w:val="28"/>
                <w:szCs w:val="28"/>
                <w:lang w:val="en-US"/>
              </w:rPr>
              <w:t xml:space="preserve"> is 155 000 people, of which 60 000 </w:t>
            </w:r>
            <w:r w:rsidRPr="001B3BAD">
              <w:rPr>
                <w:rFonts w:ascii="Times New Roman" w:hAnsi="Times New Roman" w:cs="Times New Roman"/>
                <w:sz w:val="28"/>
                <w:szCs w:val="28"/>
                <w:lang w:val="en-US"/>
              </w:rPr>
              <w:lastRenderedPageBreak/>
              <w:t xml:space="preserve">will be highly qualified specialists. </w:t>
            </w:r>
            <w:proofErr w:type="spellStart"/>
            <w:r w:rsidRPr="001B3BAD">
              <w:rPr>
                <w:rFonts w:ascii="Times New Roman" w:hAnsi="Times New Roman" w:cs="Times New Roman"/>
                <w:sz w:val="28"/>
                <w:szCs w:val="28"/>
                <w:lang w:val="en-US"/>
              </w:rPr>
              <w:t>Innopolis</w:t>
            </w:r>
            <w:proofErr w:type="spellEnd"/>
            <w:r w:rsidRPr="001B3BAD">
              <w:rPr>
                <w:rFonts w:ascii="Times New Roman" w:hAnsi="Times New Roman" w:cs="Times New Roman"/>
                <w:sz w:val="28"/>
                <w:szCs w:val="28"/>
                <w:lang w:val="en-US"/>
              </w:rPr>
              <w:t xml:space="preserve"> will be a smart city with an extensive business infrastructure (technology parks, development centers, etc.), Russia's first IT University (in partnership with Carnegie Mellon University, USA), a full range of social and commercial infrastructure (schools, kindergartens, hospitals, shopping centers, restaurants, etc.) and accommodating a diverse social spectrum (from multi-family houses to townhouses and cottages), most of which will be provided to employees of the resident companies for rent with the right to purchase.</w:t>
            </w:r>
          </w:p>
          <w:p w:rsidR="00AA3250" w:rsidRPr="001B3BAD" w:rsidRDefault="00AA3250"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xml:space="preserve">Start of construction of the project – 09.06.2012                                   </w:t>
            </w:r>
          </w:p>
          <w:p w:rsidR="00AA3250" w:rsidRPr="001B3BAD" w:rsidRDefault="00AA3250"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The first intake of the IT University will be in September 2013.</w:t>
            </w:r>
          </w:p>
          <w:p w:rsidR="00AA3250" w:rsidRPr="001B3BAD" w:rsidRDefault="00AA3250"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xml:space="preserve">The first stage of construction of </w:t>
            </w:r>
            <w:proofErr w:type="spellStart"/>
            <w:r w:rsidRPr="001B3BAD">
              <w:rPr>
                <w:rFonts w:ascii="Times New Roman" w:hAnsi="Times New Roman" w:cs="Times New Roman"/>
                <w:sz w:val="28"/>
                <w:szCs w:val="28"/>
                <w:lang w:val="en-US"/>
              </w:rPr>
              <w:t>Innopolis</w:t>
            </w:r>
            <w:proofErr w:type="spellEnd"/>
            <w:r w:rsidRPr="001B3BAD">
              <w:rPr>
                <w:rFonts w:ascii="Times New Roman" w:hAnsi="Times New Roman" w:cs="Times New Roman"/>
                <w:sz w:val="28"/>
                <w:szCs w:val="28"/>
                <w:lang w:val="en-US"/>
              </w:rPr>
              <w:t xml:space="preserve"> (infrastructure for living and working of around 5 000 people) will be completed in August 2014.</w:t>
            </w:r>
          </w:p>
          <w:p w:rsidR="00AA3250" w:rsidRPr="001B3BAD" w:rsidRDefault="00AA3250"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Mission</w:t>
            </w:r>
          </w:p>
          <w:p w:rsidR="00AA3250" w:rsidRPr="001B3BAD" w:rsidRDefault="00AA3250"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Create the opportunities for economic growth through information technologies, improving the welfare of the nation and the creation of a highly professional and intellectual society.</w:t>
            </w:r>
          </w:p>
          <w:p w:rsidR="00AA3250" w:rsidRPr="001B3BAD" w:rsidRDefault="00AA3250"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Strategy</w:t>
            </w:r>
          </w:p>
          <w:p w:rsidR="00AA3250" w:rsidRPr="001B3BAD" w:rsidRDefault="00AA3250"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Attract the best IT professionals to create innovative products in the field of information technology, and the best IT Education center in the country.</w:t>
            </w:r>
          </w:p>
          <w:p w:rsidR="00AA3250" w:rsidRPr="001B3BAD" w:rsidRDefault="00AA3250"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Learn, live, work, relax</w:t>
            </w:r>
          </w:p>
          <w:p w:rsidR="00AA3250" w:rsidRPr="001B3BAD" w:rsidRDefault="00AA3250" w:rsidP="001B3BAD">
            <w:pPr>
              <w:jc w:val="both"/>
              <w:rPr>
                <w:rFonts w:ascii="Times New Roman" w:hAnsi="Times New Roman" w:cs="Times New Roman"/>
                <w:sz w:val="28"/>
                <w:szCs w:val="28"/>
                <w:lang w:val="en-US"/>
              </w:rPr>
            </w:pPr>
            <w:r w:rsidRPr="001B3BAD">
              <w:rPr>
                <w:rFonts w:ascii="Times New Roman" w:hAnsi="Times New Roman" w:cs="Times New Roman"/>
                <w:sz w:val="28"/>
                <w:szCs w:val="28"/>
                <w:lang w:val="en-US"/>
              </w:rPr>
              <w:t xml:space="preserve">The Basic principle of </w:t>
            </w:r>
            <w:proofErr w:type="spellStart"/>
            <w:r w:rsidRPr="001B3BAD">
              <w:rPr>
                <w:rFonts w:ascii="Times New Roman" w:hAnsi="Times New Roman" w:cs="Times New Roman"/>
                <w:sz w:val="28"/>
                <w:szCs w:val="28"/>
                <w:lang w:val="en-US"/>
              </w:rPr>
              <w:t>Innopolis</w:t>
            </w:r>
            <w:proofErr w:type="spellEnd"/>
            <w:r w:rsidRPr="001B3BAD">
              <w:rPr>
                <w:rFonts w:ascii="Times New Roman" w:hAnsi="Times New Roman" w:cs="Times New Roman"/>
                <w:sz w:val="28"/>
                <w:szCs w:val="28"/>
                <w:lang w:val="en-US"/>
              </w:rPr>
              <w:t xml:space="preserve"> is to create an environment of comfortable living and working in the best companies, with the coexistence of a great recreation and educational environment.</w:t>
            </w:r>
          </w:p>
        </w:tc>
      </w:tr>
      <w:tr w:rsidR="00487BF4" w:rsidRPr="00945587" w:rsidTr="00AA3250">
        <w:tc>
          <w:tcPr>
            <w:tcW w:w="806" w:type="dxa"/>
          </w:tcPr>
          <w:p w:rsidR="00487BF4" w:rsidRDefault="00AA3250"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r w:rsidR="00487BF4">
              <w:rPr>
                <w:rFonts w:ascii="Times New Roman" w:hAnsi="Times New Roman" w:cs="Times New Roman"/>
                <w:sz w:val="28"/>
                <w:szCs w:val="28"/>
                <w:lang w:val="en-US"/>
              </w:rPr>
              <w:t>.</w:t>
            </w:r>
          </w:p>
        </w:tc>
        <w:tc>
          <w:tcPr>
            <w:tcW w:w="2938" w:type="dxa"/>
          </w:tcPr>
          <w:p w:rsidR="00487BF4" w:rsidRDefault="00487BF4"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IT-Park</w:t>
            </w:r>
          </w:p>
        </w:tc>
        <w:tc>
          <w:tcPr>
            <w:tcW w:w="2827" w:type="dxa"/>
          </w:tcPr>
          <w:p w:rsidR="00487BF4" w:rsidRDefault="00487BF4"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Director</w:t>
            </w:r>
          </w:p>
          <w:p w:rsidR="00487BF4" w:rsidRPr="00487BF4" w:rsidRDefault="00487BF4" w:rsidP="00B40BAE">
            <w:pPr>
              <w:jc w:val="center"/>
              <w:rPr>
                <w:rFonts w:ascii="Times New Roman" w:hAnsi="Times New Roman" w:cs="Times New Roman"/>
                <w:b/>
                <w:sz w:val="28"/>
                <w:szCs w:val="28"/>
                <w:lang w:val="en-US"/>
              </w:rPr>
            </w:pPr>
            <w:r w:rsidRPr="00487BF4">
              <w:rPr>
                <w:rFonts w:ascii="Times New Roman" w:hAnsi="Times New Roman" w:cs="Times New Roman"/>
                <w:b/>
                <w:sz w:val="28"/>
                <w:szCs w:val="28"/>
                <w:lang w:val="en-US"/>
              </w:rPr>
              <w:t xml:space="preserve">Anton </w:t>
            </w:r>
            <w:proofErr w:type="spellStart"/>
            <w:r w:rsidRPr="00487BF4">
              <w:rPr>
                <w:rFonts w:ascii="Times New Roman" w:hAnsi="Times New Roman" w:cs="Times New Roman"/>
                <w:b/>
                <w:sz w:val="28"/>
                <w:szCs w:val="28"/>
                <w:lang w:val="en-US"/>
              </w:rPr>
              <w:t>Grachev</w:t>
            </w:r>
            <w:proofErr w:type="spellEnd"/>
          </w:p>
        </w:tc>
        <w:tc>
          <w:tcPr>
            <w:tcW w:w="8881" w:type="dxa"/>
          </w:tcPr>
          <w:p w:rsidR="00487BF4" w:rsidRPr="00487BF4" w:rsidRDefault="00487BF4" w:rsidP="00487BF4">
            <w:pPr>
              <w:jc w:val="both"/>
              <w:rPr>
                <w:rFonts w:ascii="Times New Roman" w:hAnsi="Times New Roman" w:cs="Times New Roman"/>
                <w:sz w:val="28"/>
                <w:szCs w:val="28"/>
                <w:lang w:val="en-US"/>
              </w:rPr>
            </w:pPr>
            <w:proofErr w:type="gramStart"/>
            <w:r w:rsidRPr="00487BF4">
              <w:rPr>
                <w:rFonts w:ascii="Times New Roman" w:hAnsi="Times New Roman" w:cs="Times New Roman"/>
                <w:sz w:val="28"/>
                <w:szCs w:val="28"/>
                <w:lang w:val="en-US"/>
              </w:rPr>
              <w:t>n</w:t>
            </w:r>
            <w:proofErr w:type="gramEnd"/>
            <w:r w:rsidRPr="00487BF4">
              <w:rPr>
                <w:rFonts w:ascii="Times New Roman" w:hAnsi="Times New Roman" w:cs="Times New Roman"/>
                <w:sz w:val="28"/>
                <w:szCs w:val="28"/>
                <w:lang w:val="en-US"/>
              </w:rPr>
              <w:t xml:space="preserve"> October 2009, the Republic of Tatarstan has completed the construction of industrial park high tech "IT Park". IT Park became the first Russian </w:t>
            </w:r>
            <w:proofErr w:type="spellStart"/>
            <w:r w:rsidRPr="00487BF4">
              <w:rPr>
                <w:rFonts w:ascii="Times New Roman" w:hAnsi="Times New Roman" w:cs="Times New Roman"/>
                <w:sz w:val="28"/>
                <w:szCs w:val="28"/>
                <w:lang w:val="en-US"/>
              </w:rPr>
              <w:t>Technopark</w:t>
            </w:r>
            <w:proofErr w:type="spellEnd"/>
            <w:r w:rsidRPr="00487BF4">
              <w:rPr>
                <w:rFonts w:ascii="Times New Roman" w:hAnsi="Times New Roman" w:cs="Times New Roman"/>
                <w:sz w:val="28"/>
                <w:szCs w:val="28"/>
                <w:lang w:val="en-US"/>
              </w:rPr>
              <w:t>, develops and development company in the field of information technology. Complex "IT Park" was built under the State program "Creation of technology parks in the Russian Federation in the sphere of high technologies", implemented by the Ministry of Communications and Mass Communications of the Russian Federation .</w:t>
            </w:r>
          </w:p>
          <w:p w:rsidR="00487BF4" w:rsidRPr="00487BF4" w:rsidRDefault="00487BF4" w:rsidP="00487BF4">
            <w:pPr>
              <w:jc w:val="both"/>
              <w:rPr>
                <w:rFonts w:ascii="Times New Roman" w:hAnsi="Times New Roman" w:cs="Times New Roman"/>
                <w:sz w:val="28"/>
                <w:szCs w:val="28"/>
                <w:lang w:val="en-US"/>
              </w:rPr>
            </w:pPr>
            <w:r w:rsidRPr="00487BF4">
              <w:rPr>
                <w:rFonts w:ascii="Times New Roman" w:hAnsi="Times New Roman" w:cs="Times New Roman"/>
                <w:sz w:val="28"/>
                <w:szCs w:val="28"/>
                <w:lang w:val="en-US"/>
              </w:rPr>
              <w:t xml:space="preserve">The building is designed on the principle of intelligent building with modern technical infrastructure, represents a unique business platform for the </w:t>
            </w:r>
            <w:r w:rsidRPr="00487BF4">
              <w:rPr>
                <w:rFonts w:ascii="Times New Roman" w:hAnsi="Times New Roman" w:cs="Times New Roman"/>
                <w:sz w:val="28"/>
                <w:szCs w:val="28"/>
                <w:lang w:val="en-US"/>
              </w:rPr>
              <w:lastRenderedPageBreak/>
              <w:t>development of information and communication technologies in t</w:t>
            </w:r>
            <w:r>
              <w:rPr>
                <w:rFonts w:ascii="Times New Roman" w:hAnsi="Times New Roman" w:cs="Times New Roman"/>
                <w:sz w:val="28"/>
                <w:szCs w:val="28"/>
                <w:lang w:val="en-US"/>
              </w:rPr>
              <w:t>he Republic of Tatarstan.</w:t>
            </w:r>
          </w:p>
          <w:p w:rsidR="00487BF4" w:rsidRPr="001B3BAD" w:rsidRDefault="00487BF4" w:rsidP="00487BF4">
            <w:pPr>
              <w:jc w:val="both"/>
              <w:rPr>
                <w:rFonts w:ascii="Times New Roman" w:hAnsi="Times New Roman" w:cs="Times New Roman"/>
                <w:sz w:val="28"/>
                <w:szCs w:val="28"/>
                <w:lang w:val="en-US"/>
              </w:rPr>
            </w:pPr>
            <w:r w:rsidRPr="00487BF4">
              <w:rPr>
                <w:rFonts w:ascii="Times New Roman" w:hAnsi="Times New Roman" w:cs="Times New Roman"/>
                <w:sz w:val="28"/>
                <w:szCs w:val="28"/>
                <w:lang w:val="en-US"/>
              </w:rPr>
              <w:t xml:space="preserve">IT park is located in the heart of the business capital of the Republic of </w:t>
            </w:r>
            <w:proofErr w:type="gramStart"/>
            <w:r w:rsidRPr="00487BF4">
              <w:rPr>
                <w:rFonts w:ascii="Times New Roman" w:hAnsi="Times New Roman" w:cs="Times New Roman"/>
                <w:sz w:val="28"/>
                <w:szCs w:val="28"/>
                <w:lang w:val="en-US"/>
              </w:rPr>
              <w:t>Tatarstan .</w:t>
            </w:r>
            <w:proofErr w:type="gramEnd"/>
            <w:r w:rsidRPr="00487BF4">
              <w:rPr>
                <w:rFonts w:ascii="Times New Roman" w:hAnsi="Times New Roman" w:cs="Times New Roman"/>
                <w:sz w:val="28"/>
                <w:szCs w:val="28"/>
                <w:lang w:val="en-US"/>
              </w:rPr>
              <w:t xml:space="preserve"> Modern interior design, customer service, a wide range of telecommunications services - all to ensure the conditions for productive work and the development of complex "IT Park". Total area "IT Park" is approximately 32 000 square meters and includes a 5-storey business center with an open-plan offices, as well as two adjacent 2-storey building. Complex "IT Park" was created to provide the most favorable conditions for startups and emerging IT companies. During the design, creation and output of new high-tech product on the market, resident companies provides everything needed for effective IT development resources, advanced technology, services and equipment,</w:t>
            </w:r>
          </w:p>
        </w:tc>
      </w:tr>
      <w:tr w:rsidR="00AA3250" w:rsidRPr="00945587" w:rsidTr="00AA3250">
        <w:tc>
          <w:tcPr>
            <w:tcW w:w="806" w:type="dxa"/>
          </w:tcPr>
          <w:p w:rsidR="00AA3250" w:rsidRDefault="00AA3250"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9.</w:t>
            </w:r>
          </w:p>
        </w:tc>
        <w:tc>
          <w:tcPr>
            <w:tcW w:w="2938" w:type="dxa"/>
          </w:tcPr>
          <w:p w:rsidR="00AA3250" w:rsidRDefault="00B96FC5" w:rsidP="00B40BAE">
            <w:pPr>
              <w:jc w:val="center"/>
              <w:rPr>
                <w:rFonts w:ascii="Times New Roman" w:hAnsi="Times New Roman" w:cs="Times New Roman"/>
                <w:sz w:val="28"/>
                <w:szCs w:val="28"/>
                <w:lang w:val="en-US"/>
              </w:rPr>
            </w:pPr>
            <w:r w:rsidRPr="00B96FC5">
              <w:rPr>
                <w:rFonts w:ascii="Times New Roman" w:hAnsi="Times New Roman" w:cs="Times New Roman"/>
                <w:sz w:val="28"/>
                <w:szCs w:val="28"/>
                <w:lang w:val="en-US"/>
              </w:rPr>
              <w:t>Special economic zone «</w:t>
            </w:r>
            <w:proofErr w:type="spellStart"/>
            <w:r w:rsidRPr="00B96FC5">
              <w:rPr>
                <w:rFonts w:ascii="Times New Roman" w:hAnsi="Times New Roman" w:cs="Times New Roman"/>
                <w:sz w:val="28"/>
                <w:szCs w:val="28"/>
                <w:lang w:val="en-US"/>
              </w:rPr>
              <w:t>Alabuga</w:t>
            </w:r>
            <w:proofErr w:type="spellEnd"/>
            <w:r w:rsidRPr="00B96FC5">
              <w:rPr>
                <w:rFonts w:ascii="Times New Roman" w:hAnsi="Times New Roman" w:cs="Times New Roman"/>
                <w:sz w:val="28"/>
                <w:szCs w:val="28"/>
                <w:lang w:val="en-US"/>
              </w:rPr>
              <w:t>»</w:t>
            </w:r>
          </w:p>
        </w:tc>
        <w:tc>
          <w:tcPr>
            <w:tcW w:w="2827" w:type="dxa"/>
          </w:tcPr>
          <w:p w:rsidR="00AA3250" w:rsidRDefault="00B96FC5"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Director General</w:t>
            </w:r>
          </w:p>
          <w:p w:rsidR="00B96FC5" w:rsidRPr="00B96FC5" w:rsidRDefault="00B96FC5" w:rsidP="00B40BAE">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Timur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Shagivaleev</w:t>
            </w:r>
            <w:proofErr w:type="spellEnd"/>
          </w:p>
        </w:tc>
        <w:tc>
          <w:tcPr>
            <w:tcW w:w="8881" w:type="dxa"/>
          </w:tcPr>
          <w:p w:rsidR="00AA3250" w:rsidRPr="00AA3250" w:rsidRDefault="00AA3250" w:rsidP="00AA3250">
            <w:pPr>
              <w:jc w:val="both"/>
              <w:rPr>
                <w:rFonts w:ascii="Times New Roman" w:hAnsi="Times New Roman" w:cs="Times New Roman"/>
                <w:sz w:val="28"/>
                <w:szCs w:val="28"/>
                <w:lang w:val="en-US"/>
              </w:rPr>
            </w:pPr>
            <w:r w:rsidRPr="00AA3250">
              <w:rPr>
                <w:rFonts w:ascii="Times New Roman" w:hAnsi="Times New Roman" w:cs="Times New Roman"/>
                <w:sz w:val="28"/>
                <w:szCs w:val="28"/>
                <w:lang w:val="en-US"/>
              </w:rPr>
              <w:t>The Special economic zone «</w:t>
            </w:r>
            <w:proofErr w:type="spellStart"/>
            <w:r w:rsidRPr="00AA3250">
              <w:rPr>
                <w:rFonts w:ascii="Times New Roman" w:hAnsi="Times New Roman" w:cs="Times New Roman"/>
                <w:sz w:val="28"/>
                <w:szCs w:val="28"/>
                <w:lang w:val="en-US"/>
              </w:rPr>
              <w:t>Alabuga</w:t>
            </w:r>
            <w:proofErr w:type="spellEnd"/>
            <w:r w:rsidRPr="00AA3250">
              <w:rPr>
                <w:rFonts w:ascii="Times New Roman" w:hAnsi="Times New Roman" w:cs="Times New Roman"/>
                <w:sz w:val="28"/>
                <w:szCs w:val="28"/>
                <w:lang w:val="en-US"/>
              </w:rPr>
              <w:t>» was created in 2006, it provides investors with completely prepared industrial, engineering, transport and customs infrastructure as well as with a number of tax and customs preferences. We have managed during the SEZ «</w:t>
            </w:r>
            <w:proofErr w:type="spellStart"/>
            <w:r w:rsidRPr="00AA3250">
              <w:rPr>
                <w:rFonts w:ascii="Times New Roman" w:hAnsi="Times New Roman" w:cs="Times New Roman"/>
                <w:sz w:val="28"/>
                <w:szCs w:val="28"/>
                <w:lang w:val="en-US"/>
              </w:rPr>
              <w:t>Alabuga</w:t>
            </w:r>
            <w:proofErr w:type="spellEnd"/>
            <w:r w:rsidRPr="00AA3250">
              <w:rPr>
                <w:rFonts w:ascii="Times New Roman" w:hAnsi="Times New Roman" w:cs="Times New Roman"/>
                <w:sz w:val="28"/>
                <w:szCs w:val="28"/>
                <w:lang w:val="en-US"/>
              </w:rPr>
              <w:t>» existence period to reach impressive results in the infrastructure development and attract the SEZ first resident companies — such world known business companies like Ford-</w:t>
            </w:r>
            <w:proofErr w:type="spellStart"/>
            <w:r w:rsidRPr="00AA3250">
              <w:rPr>
                <w:rFonts w:ascii="Times New Roman" w:hAnsi="Times New Roman" w:cs="Times New Roman"/>
                <w:sz w:val="28"/>
                <w:szCs w:val="28"/>
                <w:lang w:val="en-US"/>
              </w:rPr>
              <w:t>Sollers</w:t>
            </w:r>
            <w:proofErr w:type="spellEnd"/>
            <w:r w:rsidRPr="00AA3250">
              <w:rPr>
                <w:rFonts w:ascii="Times New Roman" w:hAnsi="Times New Roman" w:cs="Times New Roman"/>
                <w:sz w:val="28"/>
                <w:szCs w:val="28"/>
                <w:lang w:val="en-US"/>
              </w:rPr>
              <w:t xml:space="preserve">, Saint-Gobain, Air </w:t>
            </w:r>
            <w:proofErr w:type="spellStart"/>
            <w:r w:rsidRPr="00AA3250">
              <w:rPr>
                <w:rFonts w:ascii="Times New Roman" w:hAnsi="Times New Roman" w:cs="Times New Roman"/>
                <w:sz w:val="28"/>
                <w:szCs w:val="28"/>
                <w:lang w:val="en-US"/>
              </w:rPr>
              <w:t>Liquide</w:t>
            </w:r>
            <w:proofErr w:type="spellEnd"/>
            <w:r w:rsidRPr="00AA3250">
              <w:rPr>
                <w:rFonts w:ascii="Times New Roman" w:hAnsi="Times New Roman" w:cs="Times New Roman"/>
                <w:sz w:val="28"/>
                <w:szCs w:val="28"/>
                <w:lang w:val="en-US"/>
              </w:rPr>
              <w:t xml:space="preserve">, Rockwool, </w:t>
            </w:r>
            <w:proofErr w:type="spellStart"/>
            <w:r w:rsidRPr="00AA3250">
              <w:rPr>
                <w:rFonts w:ascii="Times New Roman" w:hAnsi="Times New Roman" w:cs="Times New Roman"/>
                <w:sz w:val="28"/>
                <w:szCs w:val="28"/>
                <w:lang w:val="en-US"/>
              </w:rPr>
              <w:t>Sisecam</w:t>
            </w:r>
            <w:proofErr w:type="spellEnd"/>
            <w:r w:rsidRPr="00AA3250">
              <w:rPr>
                <w:rFonts w:ascii="Times New Roman" w:hAnsi="Times New Roman" w:cs="Times New Roman"/>
                <w:sz w:val="28"/>
                <w:szCs w:val="28"/>
                <w:lang w:val="en-US"/>
              </w:rPr>
              <w:t>, Hayat Group etc.</w:t>
            </w:r>
          </w:p>
          <w:p w:rsidR="00AA3250" w:rsidRPr="00487BF4" w:rsidRDefault="00AA3250" w:rsidP="00AA3250">
            <w:pPr>
              <w:jc w:val="both"/>
              <w:rPr>
                <w:rFonts w:ascii="Times New Roman" w:hAnsi="Times New Roman" w:cs="Times New Roman"/>
                <w:sz w:val="28"/>
                <w:szCs w:val="28"/>
                <w:lang w:val="en-US"/>
              </w:rPr>
            </w:pPr>
            <w:r w:rsidRPr="00AA3250">
              <w:rPr>
                <w:rFonts w:ascii="Times New Roman" w:hAnsi="Times New Roman" w:cs="Times New Roman"/>
                <w:sz w:val="28"/>
                <w:szCs w:val="28"/>
                <w:lang w:val="en-US"/>
              </w:rPr>
              <w:t>An investor according to the federal legislation has the right for free import of raw materials, equipment and components to the SEZ «</w:t>
            </w:r>
            <w:proofErr w:type="spellStart"/>
            <w:r w:rsidRPr="00AA3250">
              <w:rPr>
                <w:rFonts w:ascii="Times New Roman" w:hAnsi="Times New Roman" w:cs="Times New Roman"/>
                <w:sz w:val="28"/>
                <w:szCs w:val="28"/>
                <w:lang w:val="en-US"/>
              </w:rPr>
              <w:t>Alabuga</w:t>
            </w:r>
            <w:proofErr w:type="spellEnd"/>
            <w:r w:rsidRPr="00AA3250">
              <w:rPr>
                <w:rFonts w:ascii="Times New Roman" w:hAnsi="Times New Roman" w:cs="Times New Roman"/>
                <w:sz w:val="28"/>
                <w:szCs w:val="28"/>
                <w:lang w:val="en-US"/>
              </w:rPr>
              <w:t>» territory. The total investment volume into the projects in the territory of the SEZ «</w:t>
            </w:r>
            <w:proofErr w:type="spellStart"/>
            <w:r w:rsidRPr="00AA3250">
              <w:rPr>
                <w:rFonts w:ascii="Times New Roman" w:hAnsi="Times New Roman" w:cs="Times New Roman"/>
                <w:sz w:val="28"/>
                <w:szCs w:val="28"/>
                <w:lang w:val="en-US"/>
              </w:rPr>
              <w:t>Alabuga</w:t>
            </w:r>
            <w:proofErr w:type="spellEnd"/>
            <w:r w:rsidRPr="00AA3250">
              <w:rPr>
                <w:rFonts w:ascii="Times New Roman" w:hAnsi="Times New Roman" w:cs="Times New Roman"/>
                <w:sz w:val="28"/>
                <w:szCs w:val="28"/>
                <w:lang w:val="en-US"/>
              </w:rPr>
              <w:t>» is more than 3 billion dollars. Federal and regional authorities invested more than 23 billion rubles into the Special economic zone «</w:t>
            </w:r>
            <w:proofErr w:type="spellStart"/>
            <w:r w:rsidRPr="00AA3250">
              <w:rPr>
                <w:rFonts w:ascii="Times New Roman" w:hAnsi="Times New Roman" w:cs="Times New Roman"/>
                <w:sz w:val="28"/>
                <w:szCs w:val="28"/>
                <w:lang w:val="en-US"/>
              </w:rPr>
              <w:t>Alabuga</w:t>
            </w:r>
            <w:proofErr w:type="spellEnd"/>
            <w:r w:rsidRPr="00AA3250">
              <w:rPr>
                <w:rFonts w:ascii="Times New Roman" w:hAnsi="Times New Roman" w:cs="Times New Roman"/>
                <w:sz w:val="28"/>
                <w:szCs w:val="28"/>
                <w:lang w:val="en-US"/>
              </w:rPr>
              <w:t>» infrastructure development.</w:t>
            </w:r>
          </w:p>
        </w:tc>
      </w:tr>
      <w:tr w:rsidR="00B96FC5" w:rsidRPr="00945587" w:rsidTr="00AA3250">
        <w:tc>
          <w:tcPr>
            <w:tcW w:w="806" w:type="dxa"/>
          </w:tcPr>
          <w:p w:rsidR="00B96FC5" w:rsidRDefault="00B96FC5"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2938" w:type="dxa"/>
          </w:tcPr>
          <w:p w:rsidR="00B96FC5" w:rsidRPr="00B96FC5" w:rsidRDefault="00B96FC5"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OAO Holding Company </w:t>
            </w:r>
            <w:proofErr w:type="spellStart"/>
            <w:r>
              <w:rPr>
                <w:rFonts w:ascii="Times New Roman" w:hAnsi="Times New Roman" w:cs="Times New Roman"/>
                <w:sz w:val="28"/>
                <w:szCs w:val="28"/>
                <w:lang w:val="en-US"/>
              </w:rPr>
              <w:t>Ak</w:t>
            </w:r>
            <w:proofErr w:type="spellEnd"/>
            <w:r>
              <w:rPr>
                <w:rFonts w:ascii="Times New Roman" w:hAnsi="Times New Roman" w:cs="Times New Roman"/>
                <w:sz w:val="28"/>
                <w:szCs w:val="28"/>
                <w:lang w:val="en-US"/>
              </w:rPr>
              <w:t xml:space="preserve"> Bars</w:t>
            </w:r>
          </w:p>
        </w:tc>
        <w:tc>
          <w:tcPr>
            <w:tcW w:w="2827" w:type="dxa"/>
          </w:tcPr>
          <w:p w:rsidR="00B96FC5" w:rsidRDefault="006160F2"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Director General</w:t>
            </w:r>
          </w:p>
          <w:p w:rsidR="006160F2" w:rsidRDefault="006160F2" w:rsidP="00B40BAE">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Ivan </w:t>
            </w:r>
            <w:proofErr w:type="spellStart"/>
            <w:r>
              <w:rPr>
                <w:rFonts w:ascii="Times New Roman" w:hAnsi="Times New Roman" w:cs="Times New Roman"/>
                <w:sz w:val="28"/>
                <w:szCs w:val="28"/>
                <w:lang w:val="en-US"/>
              </w:rPr>
              <w:t>Egorov</w:t>
            </w:r>
            <w:proofErr w:type="spellEnd"/>
          </w:p>
        </w:tc>
        <w:tc>
          <w:tcPr>
            <w:tcW w:w="8881" w:type="dxa"/>
          </w:tcPr>
          <w:p w:rsidR="006160F2" w:rsidRPr="006160F2" w:rsidRDefault="006160F2" w:rsidP="006160F2">
            <w:pPr>
              <w:jc w:val="both"/>
              <w:rPr>
                <w:rFonts w:ascii="Times New Roman" w:hAnsi="Times New Roman" w:cs="Times New Roman"/>
                <w:sz w:val="28"/>
                <w:szCs w:val="28"/>
                <w:lang w:val="en-US"/>
              </w:rPr>
            </w:pPr>
            <w:r>
              <w:rPr>
                <w:rFonts w:ascii="Times New Roman" w:hAnsi="Times New Roman" w:cs="Times New Roman"/>
                <w:sz w:val="28"/>
                <w:szCs w:val="28"/>
                <w:lang w:val="en-US"/>
              </w:rPr>
              <w:t>Th</w:t>
            </w:r>
            <w:r w:rsidRPr="006160F2">
              <w:rPr>
                <w:rFonts w:ascii="Times New Roman" w:hAnsi="Times New Roman" w:cs="Times New Roman"/>
                <w:sz w:val="28"/>
                <w:szCs w:val="28"/>
                <w:lang w:val="en-US"/>
              </w:rPr>
              <w:t>e history of the Holding company “</w:t>
            </w:r>
            <w:proofErr w:type="spellStart"/>
            <w:r w:rsidRPr="006160F2">
              <w:rPr>
                <w:rFonts w:ascii="Times New Roman" w:hAnsi="Times New Roman" w:cs="Times New Roman"/>
                <w:sz w:val="28"/>
                <w:szCs w:val="28"/>
                <w:lang w:val="en-US"/>
              </w:rPr>
              <w:t>Ak</w:t>
            </w:r>
            <w:proofErr w:type="spellEnd"/>
            <w:r w:rsidRPr="006160F2">
              <w:rPr>
                <w:rFonts w:ascii="Times New Roman" w:hAnsi="Times New Roman" w:cs="Times New Roman"/>
                <w:sz w:val="28"/>
                <w:szCs w:val="28"/>
                <w:lang w:val="en-US"/>
              </w:rPr>
              <w:t xml:space="preserve"> Bars”, stepped over the boundary of its tenth anniversary, originates in the glorious history of its enterprises.</w:t>
            </w:r>
          </w:p>
          <w:p w:rsidR="006160F2" w:rsidRPr="006160F2" w:rsidRDefault="006160F2" w:rsidP="006160F2">
            <w:pPr>
              <w:jc w:val="both"/>
              <w:rPr>
                <w:rFonts w:ascii="Times New Roman" w:hAnsi="Times New Roman" w:cs="Times New Roman"/>
                <w:sz w:val="28"/>
                <w:szCs w:val="28"/>
                <w:lang w:val="en-US"/>
              </w:rPr>
            </w:pPr>
            <w:r w:rsidRPr="006160F2">
              <w:rPr>
                <w:rFonts w:ascii="Times New Roman" w:hAnsi="Times New Roman" w:cs="Times New Roman"/>
                <w:sz w:val="28"/>
                <w:szCs w:val="28"/>
                <w:lang w:val="en-US"/>
              </w:rPr>
              <w:t xml:space="preserve">The leading enterprises of the group were founded at the end of IX - the beginning of XX centuries and were at the beginnings of development of the most significant industries of the national economy of the country. The </w:t>
            </w:r>
            <w:r w:rsidRPr="006160F2">
              <w:rPr>
                <w:rFonts w:ascii="Times New Roman" w:hAnsi="Times New Roman" w:cs="Times New Roman"/>
                <w:sz w:val="28"/>
                <w:szCs w:val="28"/>
                <w:lang w:val="en-US"/>
              </w:rPr>
              <w:lastRenderedPageBreak/>
              <w:t>service honor of the Russian navy and air force, the construction of industrial giants and output of the first export products of the country are closely associated with manufacturing achievements of our plants.</w:t>
            </w:r>
          </w:p>
          <w:p w:rsidR="006160F2" w:rsidRPr="006160F2" w:rsidRDefault="006160F2" w:rsidP="006160F2">
            <w:pPr>
              <w:jc w:val="both"/>
              <w:rPr>
                <w:rFonts w:ascii="Times New Roman" w:hAnsi="Times New Roman" w:cs="Times New Roman"/>
                <w:sz w:val="28"/>
                <w:szCs w:val="28"/>
                <w:lang w:val="en-US"/>
              </w:rPr>
            </w:pPr>
            <w:r w:rsidRPr="006160F2">
              <w:rPr>
                <w:rFonts w:ascii="Times New Roman" w:hAnsi="Times New Roman" w:cs="Times New Roman"/>
                <w:sz w:val="28"/>
                <w:szCs w:val="28"/>
                <w:lang w:val="en-US"/>
              </w:rPr>
              <w:t>Forming around itself commercial, industrial and construction group of companies the Holding company “</w:t>
            </w:r>
            <w:proofErr w:type="spellStart"/>
            <w:r w:rsidRPr="006160F2">
              <w:rPr>
                <w:rFonts w:ascii="Times New Roman" w:hAnsi="Times New Roman" w:cs="Times New Roman"/>
                <w:sz w:val="28"/>
                <w:szCs w:val="28"/>
                <w:lang w:val="en-US"/>
              </w:rPr>
              <w:t>Ak</w:t>
            </w:r>
            <w:proofErr w:type="spellEnd"/>
            <w:r w:rsidRPr="006160F2">
              <w:rPr>
                <w:rFonts w:ascii="Times New Roman" w:hAnsi="Times New Roman" w:cs="Times New Roman"/>
                <w:sz w:val="28"/>
                <w:szCs w:val="28"/>
                <w:lang w:val="en-US"/>
              </w:rPr>
              <w:t xml:space="preserve"> Bars” has become the locomotive for their further development. Our team managed not only to preserve economic potential of many Tatarstan enterprises but also to provide their stable growth.</w:t>
            </w:r>
          </w:p>
          <w:p w:rsidR="006160F2" w:rsidRPr="006160F2" w:rsidRDefault="006160F2" w:rsidP="006160F2">
            <w:pPr>
              <w:jc w:val="both"/>
              <w:rPr>
                <w:rFonts w:ascii="Times New Roman" w:hAnsi="Times New Roman" w:cs="Times New Roman"/>
                <w:sz w:val="28"/>
                <w:szCs w:val="28"/>
                <w:lang w:val="en-US"/>
              </w:rPr>
            </w:pPr>
            <w:r w:rsidRPr="006160F2">
              <w:rPr>
                <w:rFonts w:ascii="Times New Roman" w:hAnsi="Times New Roman" w:cs="Times New Roman"/>
                <w:sz w:val="28"/>
                <w:szCs w:val="28"/>
                <w:lang w:val="en-US"/>
              </w:rPr>
              <w:t xml:space="preserve">We build cities and erect bridges, our ships patrol borders of Russia, </w:t>
            </w:r>
            <w:proofErr w:type="gramStart"/>
            <w:r w:rsidRPr="006160F2">
              <w:rPr>
                <w:rFonts w:ascii="Times New Roman" w:hAnsi="Times New Roman" w:cs="Times New Roman"/>
                <w:sz w:val="28"/>
                <w:szCs w:val="28"/>
                <w:lang w:val="en-US"/>
              </w:rPr>
              <w:t>airplanes</w:t>
            </w:r>
            <w:proofErr w:type="gramEnd"/>
            <w:r w:rsidRPr="006160F2">
              <w:rPr>
                <w:rFonts w:ascii="Times New Roman" w:hAnsi="Times New Roman" w:cs="Times New Roman"/>
                <w:sz w:val="28"/>
                <w:szCs w:val="28"/>
                <w:lang w:val="en-US"/>
              </w:rPr>
              <w:t xml:space="preserve"> carry passengers to many parts of the country. Sowings and harvestings are carried out on the fields, products with the stamp “</w:t>
            </w:r>
            <w:proofErr w:type="spellStart"/>
            <w:r w:rsidRPr="006160F2">
              <w:rPr>
                <w:rFonts w:ascii="Times New Roman" w:hAnsi="Times New Roman" w:cs="Times New Roman"/>
                <w:sz w:val="28"/>
                <w:szCs w:val="28"/>
                <w:lang w:val="en-US"/>
              </w:rPr>
              <w:t>Ak</w:t>
            </w:r>
            <w:proofErr w:type="spellEnd"/>
            <w:r w:rsidRPr="006160F2">
              <w:rPr>
                <w:rFonts w:ascii="Times New Roman" w:hAnsi="Times New Roman" w:cs="Times New Roman"/>
                <w:sz w:val="28"/>
                <w:szCs w:val="28"/>
                <w:lang w:val="en-US"/>
              </w:rPr>
              <w:t xml:space="preserve"> Bars Holding”</w:t>
            </w:r>
            <w:r>
              <w:rPr>
                <w:rFonts w:ascii="Times New Roman" w:hAnsi="Times New Roman" w:cs="Times New Roman"/>
                <w:sz w:val="28"/>
                <w:szCs w:val="28"/>
                <w:lang w:val="en-US"/>
              </w:rPr>
              <w:t xml:space="preserve"> get out from production lines.</w:t>
            </w:r>
          </w:p>
          <w:p w:rsidR="006160F2" w:rsidRPr="006160F2" w:rsidRDefault="006160F2" w:rsidP="006160F2">
            <w:pPr>
              <w:jc w:val="both"/>
              <w:rPr>
                <w:rFonts w:ascii="Times New Roman" w:hAnsi="Times New Roman" w:cs="Times New Roman"/>
                <w:sz w:val="28"/>
                <w:szCs w:val="28"/>
                <w:lang w:val="en-US"/>
              </w:rPr>
            </w:pPr>
            <w:r w:rsidRPr="006160F2">
              <w:rPr>
                <w:rFonts w:ascii="Times New Roman" w:hAnsi="Times New Roman" w:cs="Times New Roman"/>
                <w:sz w:val="28"/>
                <w:szCs w:val="28"/>
                <w:lang w:val="en-US"/>
              </w:rPr>
              <w:t xml:space="preserve">We are socially responsible market oriented company. We create the conditions for people for steady </w:t>
            </w:r>
            <w:proofErr w:type="gramStart"/>
            <w:r w:rsidRPr="006160F2">
              <w:rPr>
                <w:rFonts w:ascii="Times New Roman" w:hAnsi="Times New Roman" w:cs="Times New Roman"/>
                <w:sz w:val="28"/>
                <w:szCs w:val="28"/>
                <w:lang w:val="en-US"/>
              </w:rPr>
              <w:t>development,</w:t>
            </w:r>
            <w:proofErr w:type="gramEnd"/>
            <w:r w:rsidRPr="006160F2">
              <w:rPr>
                <w:rFonts w:ascii="Times New Roman" w:hAnsi="Times New Roman" w:cs="Times New Roman"/>
                <w:sz w:val="28"/>
                <w:szCs w:val="28"/>
                <w:lang w:val="en-US"/>
              </w:rPr>
              <w:t xml:space="preserve"> make contribution to the formation of a healthy and moral society, to the cultural values preservation.</w:t>
            </w:r>
          </w:p>
          <w:p w:rsidR="006160F2" w:rsidRPr="006160F2" w:rsidRDefault="006160F2" w:rsidP="006160F2">
            <w:pPr>
              <w:jc w:val="both"/>
              <w:rPr>
                <w:rFonts w:ascii="Times New Roman" w:hAnsi="Times New Roman" w:cs="Times New Roman"/>
                <w:sz w:val="28"/>
                <w:szCs w:val="28"/>
                <w:lang w:val="en-US"/>
              </w:rPr>
            </w:pPr>
            <w:r w:rsidRPr="006160F2">
              <w:rPr>
                <w:rFonts w:ascii="Times New Roman" w:hAnsi="Times New Roman" w:cs="Times New Roman"/>
                <w:sz w:val="28"/>
                <w:szCs w:val="28"/>
                <w:lang w:val="en-US"/>
              </w:rPr>
              <w:t xml:space="preserve"> We have effective management methods and </w:t>
            </w:r>
            <w:proofErr w:type="gramStart"/>
            <w:r w:rsidRPr="006160F2">
              <w:rPr>
                <w:rFonts w:ascii="Times New Roman" w:hAnsi="Times New Roman" w:cs="Times New Roman"/>
                <w:sz w:val="28"/>
                <w:szCs w:val="28"/>
                <w:lang w:val="en-US"/>
              </w:rPr>
              <w:t>systems,</w:t>
            </w:r>
            <w:proofErr w:type="gramEnd"/>
            <w:r w:rsidRPr="006160F2">
              <w:rPr>
                <w:rFonts w:ascii="Times New Roman" w:hAnsi="Times New Roman" w:cs="Times New Roman"/>
                <w:sz w:val="28"/>
                <w:szCs w:val="28"/>
                <w:lang w:val="en-US"/>
              </w:rPr>
              <w:t xml:space="preserve"> we always endeavor at perfection and look for the new horizons. Our main value is people. Our development concludes in innovations and relations, based on cooperation.</w:t>
            </w:r>
          </w:p>
          <w:p w:rsidR="00B96FC5" w:rsidRPr="00AA3250" w:rsidRDefault="006160F2" w:rsidP="006160F2">
            <w:pPr>
              <w:jc w:val="both"/>
              <w:rPr>
                <w:rFonts w:ascii="Times New Roman" w:hAnsi="Times New Roman" w:cs="Times New Roman"/>
                <w:sz w:val="28"/>
                <w:szCs w:val="28"/>
                <w:lang w:val="en-US"/>
              </w:rPr>
            </w:pPr>
            <w:r w:rsidRPr="006160F2">
              <w:rPr>
                <w:rFonts w:ascii="Times New Roman" w:hAnsi="Times New Roman" w:cs="Times New Roman"/>
                <w:sz w:val="28"/>
                <w:szCs w:val="28"/>
                <w:lang w:val="en-US"/>
              </w:rPr>
              <w:t>We give everyone the opportunity to work efficiently in the present and to look confidently to the future!</w:t>
            </w:r>
          </w:p>
        </w:tc>
      </w:tr>
    </w:tbl>
    <w:p w:rsidR="00B40BAE" w:rsidRPr="00B40BAE" w:rsidRDefault="00B40BAE" w:rsidP="00B40BAE">
      <w:pPr>
        <w:jc w:val="center"/>
        <w:rPr>
          <w:lang w:val="en-US"/>
        </w:rPr>
      </w:pPr>
      <w:bookmarkStart w:id="0" w:name="_GoBack"/>
      <w:bookmarkEnd w:id="0"/>
    </w:p>
    <w:sectPr w:rsidR="00B40BAE" w:rsidRPr="00B40BAE" w:rsidSect="00B40BAE">
      <w:pgSz w:w="16838" w:h="11906" w:orient="landscape"/>
      <w:pgMar w:top="709" w:right="962"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03576"/>
    <w:multiLevelType w:val="hybridMultilevel"/>
    <w:tmpl w:val="EE749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B50F06"/>
    <w:multiLevelType w:val="hybridMultilevel"/>
    <w:tmpl w:val="0128A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B543BC"/>
    <w:multiLevelType w:val="hybridMultilevel"/>
    <w:tmpl w:val="172A2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AE"/>
    <w:rsid w:val="0012443F"/>
    <w:rsid w:val="00177B79"/>
    <w:rsid w:val="001B3BAD"/>
    <w:rsid w:val="002B0688"/>
    <w:rsid w:val="00487BF4"/>
    <w:rsid w:val="00562FE8"/>
    <w:rsid w:val="006160F2"/>
    <w:rsid w:val="00781827"/>
    <w:rsid w:val="008E52AE"/>
    <w:rsid w:val="00945587"/>
    <w:rsid w:val="00AA3250"/>
    <w:rsid w:val="00AF3F95"/>
    <w:rsid w:val="00B40BAE"/>
    <w:rsid w:val="00B96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52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5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Низамова</dc:creator>
  <cp:lastModifiedBy>mpt</cp:lastModifiedBy>
  <cp:revision>2</cp:revision>
  <dcterms:created xsi:type="dcterms:W3CDTF">2014-12-14T12:43:00Z</dcterms:created>
  <dcterms:modified xsi:type="dcterms:W3CDTF">2014-12-14T12:43:00Z</dcterms:modified>
</cp:coreProperties>
</file>